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EL PARTIDO POPULAR EN CONTRA DE UN CREMATORIO EN LA M-40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Madrid, octubre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El Partido Popular de Villaverde, haciéndose eco de la inquietud de los vecinos del barrio, por la posible construcción de un crematorio en el tanatorio de la M40, informa: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5" w:hanging="360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Que cuando se construyó el tanatorio de la M40 (bajo el gobierno del PP) se hizo constar expresamente que se trataba de una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“licencia de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tanatorio SIN crematorio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5" w:hanging="360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Desde su construcción hasta el día de hoy,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el PP siempre ha defendido los intereses de los vecinos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de Villaverde al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no permitir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la instalación del crematorio.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5" w:hanging="360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Con la llegada de Ahora Madrid al gobierno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la empresa que gestiona el tanatorio ha solicitado licencia para el crematorio.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5" w:hanging="360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El Partido Popular ha estudiado toda la documentación y concluimos que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la construcción sería contraria a la normativa vigente 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(Ordenanza de Protección del Medio Ambiente Urbano *1).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065" w:hanging="360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Por tanto,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exigimos a la Alcaldesa de Madrid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, Manuela Carmena; a la Delegada del Área de Medio Ambiente y Movilidad, Inés Sabanés; y al Concejal de Villaverde, Guillermo Zapata (que por sus declaraciones públicas parece saber lo que es un crematorio), </w:t>
      </w: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la misma defensa de los intereses de los vecinos que venimos demostrando en el PP de Villaverde,</w:t>
      </w: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 desde hace muchos años.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*1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En el art. 52.3, de la citada Ordenanza, se exige que “los hornos destinados específicamente a la incineración de cadáveres de personas deberán instalarse siempre (…) de tal modo que la distancia del foco o focos de emisión a viviendas (…)  </w:t>
      </w: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no sea nunca inferior a 250 metros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color w:val="4d4949"/>
        <w:sz w:val="20"/>
        <w:szCs w:val="20"/>
        <w:vertAlign w:val="baseline"/>
        <w:rtl w:val="0"/>
      </w:rPr>
      <w:t xml:space="preserve">Av. Verbena de la Paloma, 29. Bajo C. 28041. Madrid. </w:t>
    </w:r>
    <w:r w:rsidDel="00000000" w:rsidR="00000000" w:rsidRPr="00000000">
      <w:rPr>
        <w:rFonts w:ascii="Arial" w:cs="Arial" w:eastAsia="Arial" w:hAnsi="Arial"/>
        <w:b w:val="0"/>
        <w:color w:val="4d4949"/>
        <w:sz w:val="20"/>
        <w:szCs w:val="20"/>
        <w:vertAlign w:val="baseline"/>
        <w:rtl w:val="0"/>
      </w:rPr>
      <w:t xml:space="preserve">Teléfono</w:t>
    </w:r>
    <w:r w:rsidDel="00000000" w:rsidR="00000000" w:rsidRPr="00000000">
      <w:rPr>
        <w:rFonts w:ascii="Arial" w:cs="Arial" w:eastAsia="Arial" w:hAnsi="Arial"/>
        <w:color w:val="4d4949"/>
        <w:sz w:val="20"/>
        <w:szCs w:val="20"/>
        <w:vertAlign w:val="baseline"/>
        <w:rtl w:val="0"/>
      </w:rPr>
      <w:t xml:space="preserve">: 91 317 78 84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708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color w:val="4d4949"/>
        <w:sz w:val="20"/>
        <w:szCs w:val="20"/>
        <w:vertAlign w:val="baseline"/>
        <w:rtl w:val="0"/>
      </w:rPr>
      <w:t xml:space="preserve">www.ppvillaverde.es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708" w:line="240" w:lineRule="auto"/>
      <w:ind w:left="-567" w:firstLine="0"/>
      <w:contextualSpacing w:val="0"/>
    </w:pPr>
    <w:r w:rsidDel="00000000" w:rsidR="00000000" w:rsidRPr="00000000">
      <w:drawing>
        <wp:inline distB="0" distT="0" distL="114300" distR="114300">
          <wp:extent cx="1073150" cy="107251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150" cy="1072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2832100</wp:posOffset>
              </wp:positionH>
              <wp:positionV relativeFrom="paragraph">
                <wp:posOffset>419100</wp:posOffset>
              </wp:positionV>
              <wp:extent cx="2857500" cy="7239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" name="Shape 1"/>
                    <wps:spPr>
                      <a:xfrm>
                        <a:off x="3922012" y="3422494"/>
                        <a:ext cx="28479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2832100</wp:posOffset>
              </wp:positionH>
              <wp:positionV relativeFrom="paragraph">
                <wp:posOffset>419100</wp:posOffset>
              </wp:positionV>
              <wp:extent cx="2857500" cy="7239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00" cy="723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567" w:firstLine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image" Target="media/image03.png"/></Relationships>
</file>